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3" w:rsidRPr="00591A31" w:rsidRDefault="003D6BB1" w:rsidP="00B003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Corte di Appello</w:t>
      </w:r>
      <w:r w:rsidR="00B00313" w:rsidRPr="004F775A">
        <w:rPr>
          <w:sz w:val="24"/>
          <w:szCs w:val="24"/>
        </w:rPr>
        <w:t xml:space="preserve"> di Brescia, I</w:t>
      </w:r>
      <w:r w:rsidR="00007A6F">
        <w:rPr>
          <w:sz w:val="24"/>
          <w:szCs w:val="24"/>
        </w:rPr>
        <w:t>I</w:t>
      </w:r>
      <w:r w:rsidR="00B00313" w:rsidRPr="004F775A">
        <w:rPr>
          <w:sz w:val="24"/>
          <w:szCs w:val="24"/>
        </w:rPr>
        <w:t xml:space="preserve"> sezione penale, </w:t>
      </w:r>
      <w:r>
        <w:rPr>
          <w:sz w:val="24"/>
          <w:szCs w:val="24"/>
        </w:rPr>
        <w:t>Presidente Dr.</w:t>
      </w:r>
      <w:r w:rsidR="009B3F08">
        <w:rPr>
          <w:sz w:val="24"/>
          <w:szCs w:val="24"/>
        </w:rPr>
        <w:t xml:space="preserve"> </w:t>
      </w:r>
      <w:bookmarkStart w:id="0" w:name="_GoBack"/>
      <w:bookmarkEnd w:id="0"/>
      <w:r w:rsidR="00007A6F">
        <w:rPr>
          <w:sz w:val="24"/>
          <w:szCs w:val="24"/>
        </w:rPr>
        <w:t>Vacchiano</w:t>
      </w:r>
      <w:r w:rsidR="00B00313" w:rsidRPr="004F775A">
        <w:rPr>
          <w:sz w:val="24"/>
          <w:szCs w:val="24"/>
        </w:rPr>
        <w:t xml:space="preserve">, sentenza nr. </w:t>
      </w:r>
      <w:r w:rsidR="00007A6F">
        <w:rPr>
          <w:sz w:val="24"/>
          <w:szCs w:val="24"/>
        </w:rPr>
        <w:t>3390</w:t>
      </w:r>
      <w:r w:rsidR="00B00313" w:rsidRPr="004F775A">
        <w:rPr>
          <w:sz w:val="24"/>
          <w:szCs w:val="24"/>
        </w:rPr>
        <w:t xml:space="preserve"> del </w:t>
      </w:r>
      <w:r w:rsidR="00007A6F">
        <w:rPr>
          <w:sz w:val="24"/>
          <w:szCs w:val="24"/>
        </w:rPr>
        <w:t>06.12.2017</w:t>
      </w:r>
    </w:p>
    <w:p w:rsidR="00416982" w:rsidRPr="00591A31" w:rsidRDefault="00416982" w:rsidP="00416982">
      <w:pPr>
        <w:spacing w:line="276" w:lineRule="auto"/>
        <w:jc w:val="both"/>
        <w:rPr>
          <w:b/>
          <w:bCs/>
          <w:sz w:val="24"/>
          <w:szCs w:val="24"/>
        </w:rPr>
      </w:pPr>
    </w:p>
    <w:p w:rsidR="00CB5A56" w:rsidRPr="00591A31" w:rsidRDefault="00007A6F" w:rsidP="00087E3E">
      <w:pPr>
        <w:tabs>
          <w:tab w:val="num" w:pos="567"/>
        </w:tabs>
        <w:spacing w:line="276" w:lineRule="auto"/>
        <w:ind w:left="567" w:hanging="1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Responsabilità degli enti – infortunio sul lavoro – intervenuta cancellazione della società del registro delle imprese – estinzione dell’ente e dell’illecito amministrativo</w:t>
      </w:r>
    </w:p>
    <w:p w:rsidR="00352A98" w:rsidRDefault="00352A98" w:rsidP="007F5983">
      <w:pPr>
        <w:jc w:val="both"/>
        <w:rPr>
          <w:sz w:val="24"/>
          <w:szCs w:val="24"/>
        </w:rPr>
      </w:pPr>
    </w:p>
    <w:p w:rsidR="00071FCA" w:rsidRDefault="0025257D" w:rsidP="00920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cancellazione dal registro delle imprese di una società previamente fallita, comportandone l’effetto costitutivo dell’estinzione irreversibile, implica altresì l’estinzione dell’illecito amministrativo ravvisato in capo all’ente (ciò in ragione di effetti analoghi a quelli previsti per la persona fisica </w:t>
      </w:r>
      <w:r>
        <w:rPr>
          <w:i/>
          <w:sz w:val="24"/>
          <w:szCs w:val="24"/>
        </w:rPr>
        <w:t xml:space="preserve">ex </w:t>
      </w:r>
      <w:r>
        <w:rPr>
          <w:sz w:val="24"/>
          <w:szCs w:val="24"/>
        </w:rPr>
        <w:t>art. 150 c.p.).</w:t>
      </w:r>
    </w:p>
    <w:p w:rsidR="00071FCA" w:rsidRDefault="00071FCA" w:rsidP="007F5983">
      <w:pPr>
        <w:jc w:val="both"/>
        <w:rPr>
          <w:sz w:val="24"/>
          <w:szCs w:val="24"/>
        </w:rPr>
      </w:pPr>
    </w:p>
    <w:p w:rsidR="0083151A" w:rsidRDefault="00071FCA" w:rsidP="00071FCA">
      <w:pPr>
        <w:jc w:val="both"/>
        <w:rPr>
          <w:sz w:val="24"/>
          <w:szCs w:val="24"/>
        </w:rPr>
      </w:pPr>
      <w:r>
        <w:rPr>
          <w:sz w:val="24"/>
          <w:szCs w:val="24"/>
        </w:rPr>
        <w:t>[Nel caso di specie, la Corte di Appello di Brescia, in riforma della sentenza di</w:t>
      </w:r>
      <w:r w:rsidR="0025257D">
        <w:rPr>
          <w:sz w:val="24"/>
          <w:szCs w:val="24"/>
        </w:rPr>
        <w:t xml:space="preserve"> condanna di primo grado, dichiarava di non doversi procedere in relazione all’illecito amministrativo ascritto all’ente per l’estinzione del medesimo per intervenuta cancellazione dal registro delle imprese]</w:t>
      </w:r>
      <w:r>
        <w:rPr>
          <w:sz w:val="24"/>
          <w:szCs w:val="24"/>
        </w:rPr>
        <w:t xml:space="preserve">. </w:t>
      </w:r>
    </w:p>
    <w:p w:rsidR="00CB5A56" w:rsidRPr="00591A31" w:rsidRDefault="00CB5A56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CB5A56" w:rsidRPr="00591A31" w:rsidSect="00033B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CC" w:rsidRDefault="009C24CC" w:rsidP="00EF2097">
      <w:r>
        <w:separator/>
      </w:r>
    </w:p>
  </w:endnote>
  <w:endnote w:type="continuationSeparator" w:id="0">
    <w:p w:rsidR="009C24CC" w:rsidRDefault="009C24CC" w:rsidP="00E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CC" w:rsidRDefault="009C24CC" w:rsidP="00EF2097">
      <w:r>
        <w:separator/>
      </w:r>
    </w:p>
  </w:footnote>
  <w:footnote w:type="continuationSeparator" w:id="0">
    <w:p w:rsidR="009C24CC" w:rsidRDefault="009C24CC" w:rsidP="00EF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D70B6"/>
    <w:multiLevelType w:val="hybridMultilevel"/>
    <w:tmpl w:val="7A0C9F80"/>
    <w:lvl w:ilvl="0" w:tplc="D2048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B"/>
    <w:rsid w:val="00007A6F"/>
    <w:rsid w:val="00022771"/>
    <w:rsid w:val="00033AFA"/>
    <w:rsid w:val="00033BD1"/>
    <w:rsid w:val="0004517B"/>
    <w:rsid w:val="00063B60"/>
    <w:rsid w:val="00071FCA"/>
    <w:rsid w:val="00087E3E"/>
    <w:rsid w:val="000951C7"/>
    <w:rsid w:val="00097BB6"/>
    <w:rsid w:val="000C4831"/>
    <w:rsid w:val="000E03A1"/>
    <w:rsid w:val="00152682"/>
    <w:rsid w:val="0018334C"/>
    <w:rsid w:val="001C5EF2"/>
    <w:rsid w:val="001F5159"/>
    <w:rsid w:val="0023039B"/>
    <w:rsid w:val="002467FD"/>
    <w:rsid w:val="0025257D"/>
    <w:rsid w:val="00297F8B"/>
    <w:rsid w:val="002A5628"/>
    <w:rsid w:val="002B0654"/>
    <w:rsid w:val="002C382A"/>
    <w:rsid w:val="002E09D2"/>
    <w:rsid w:val="002F5794"/>
    <w:rsid w:val="00335E9E"/>
    <w:rsid w:val="00352A98"/>
    <w:rsid w:val="00380CEF"/>
    <w:rsid w:val="003A154D"/>
    <w:rsid w:val="003B1BEB"/>
    <w:rsid w:val="003B271E"/>
    <w:rsid w:val="003D44C4"/>
    <w:rsid w:val="003D6BB1"/>
    <w:rsid w:val="00416982"/>
    <w:rsid w:val="004531D9"/>
    <w:rsid w:val="004C122E"/>
    <w:rsid w:val="004F4FC6"/>
    <w:rsid w:val="004F59C5"/>
    <w:rsid w:val="004F775A"/>
    <w:rsid w:val="00510381"/>
    <w:rsid w:val="00526D98"/>
    <w:rsid w:val="005618FD"/>
    <w:rsid w:val="00591A31"/>
    <w:rsid w:val="006522D2"/>
    <w:rsid w:val="007D5278"/>
    <w:rsid w:val="007F5983"/>
    <w:rsid w:val="0083151A"/>
    <w:rsid w:val="00891F50"/>
    <w:rsid w:val="008B6E69"/>
    <w:rsid w:val="00900433"/>
    <w:rsid w:val="009204ED"/>
    <w:rsid w:val="0096760A"/>
    <w:rsid w:val="009738DE"/>
    <w:rsid w:val="009B3F08"/>
    <w:rsid w:val="009B476F"/>
    <w:rsid w:val="009C24CC"/>
    <w:rsid w:val="00A36D07"/>
    <w:rsid w:val="00A80A0B"/>
    <w:rsid w:val="00AA423B"/>
    <w:rsid w:val="00AC46B7"/>
    <w:rsid w:val="00AD798F"/>
    <w:rsid w:val="00AF5988"/>
    <w:rsid w:val="00B00313"/>
    <w:rsid w:val="00B13300"/>
    <w:rsid w:val="00B80A9A"/>
    <w:rsid w:val="00BA5056"/>
    <w:rsid w:val="00C13AB1"/>
    <w:rsid w:val="00C32360"/>
    <w:rsid w:val="00C4728E"/>
    <w:rsid w:val="00C56B71"/>
    <w:rsid w:val="00C62A50"/>
    <w:rsid w:val="00C8683E"/>
    <w:rsid w:val="00C86D8D"/>
    <w:rsid w:val="00C91B42"/>
    <w:rsid w:val="00CB5A56"/>
    <w:rsid w:val="00D43252"/>
    <w:rsid w:val="00DC1904"/>
    <w:rsid w:val="00DD3D0B"/>
    <w:rsid w:val="00E106D4"/>
    <w:rsid w:val="00E273AA"/>
    <w:rsid w:val="00EB284F"/>
    <w:rsid w:val="00EE53BD"/>
    <w:rsid w:val="00EF2097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FFAA5-049C-48E5-874E-C48B22F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39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F209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F2097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F20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5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9EA2-DAC1-4C22-BF52-5CFC54A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Anna</cp:lastModifiedBy>
  <cp:revision>5</cp:revision>
  <dcterms:created xsi:type="dcterms:W3CDTF">2018-12-05T12:23:00Z</dcterms:created>
  <dcterms:modified xsi:type="dcterms:W3CDTF">2018-12-05T12:30:00Z</dcterms:modified>
</cp:coreProperties>
</file>